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E43" w:rsidRDefault="00084E43" w:rsidP="00680CB4">
      <w:pPr>
        <w:spacing w:after="120" w:line="360" w:lineRule="auto"/>
        <w:jc w:val="center"/>
        <w:rPr>
          <w:b/>
          <w:smallCaps/>
        </w:rPr>
      </w:pPr>
      <w:r w:rsidRPr="00CE4BD3">
        <w:rPr>
          <w:b/>
          <w:smallCaps/>
        </w:rPr>
        <w:t>Estrutura indicativa do Contributo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94"/>
      </w:tblGrid>
      <w:tr w:rsidR="00084E43" w:rsidRPr="004B348C" w:rsidTr="003F2F57">
        <w:tc>
          <w:tcPr>
            <w:tcW w:w="9108" w:type="dxa"/>
          </w:tcPr>
          <w:p w:rsidR="00084E43" w:rsidRDefault="00664F19" w:rsidP="00664F19">
            <w:pPr>
              <w:spacing w:after="0" w:line="360" w:lineRule="auto"/>
              <w:jc w:val="both"/>
              <w:rPr>
                <w:b/>
              </w:rPr>
            </w:pPr>
            <w:r>
              <w:rPr>
                <w:b/>
              </w:rPr>
              <w:t xml:space="preserve">1. </w:t>
            </w:r>
            <w:r w:rsidR="00084E43" w:rsidRPr="004B348C">
              <w:rPr>
                <w:b/>
              </w:rPr>
              <w:t>Identificação/Setor Institucional da Entidade</w:t>
            </w:r>
          </w:p>
          <w:p w:rsidR="00664F19" w:rsidRPr="004B348C" w:rsidRDefault="00664F19" w:rsidP="00664F19">
            <w:pPr>
              <w:spacing w:after="0" w:line="360" w:lineRule="auto"/>
              <w:jc w:val="both"/>
              <w:rPr>
                <w:b/>
              </w:rPr>
            </w:pPr>
          </w:p>
        </w:tc>
      </w:tr>
      <w:tr w:rsidR="00084E43" w:rsidRPr="004B348C" w:rsidTr="003F2F57">
        <w:tc>
          <w:tcPr>
            <w:tcW w:w="9108" w:type="dxa"/>
          </w:tcPr>
          <w:p w:rsidR="00084E43" w:rsidRPr="004B348C" w:rsidRDefault="00084E43" w:rsidP="003F2F57">
            <w:pPr>
              <w:spacing w:after="0" w:line="360" w:lineRule="auto"/>
              <w:jc w:val="both"/>
              <w:rPr>
                <w:b/>
              </w:rPr>
            </w:pPr>
            <w:r w:rsidRPr="004B348C">
              <w:rPr>
                <w:b/>
              </w:rPr>
              <w:t>2. Diagnóstico prospetivo</w:t>
            </w:r>
          </w:p>
          <w:p w:rsidR="00084E43" w:rsidRPr="004B348C" w:rsidRDefault="00084E43" w:rsidP="003F2F57">
            <w:pPr>
              <w:spacing w:after="120" w:line="360" w:lineRule="auto"/>
              <w:jc w:val="both"/>
            </w:pPr>
            <w:r w:rsidRPr="004B348C">
              <w:rPr>
                <w:i/>
              </w:rPr>
              <w:t>2.1. Síntese de constrangimentos existentes/ condicionantes de desenvolvimento</w:t>
            </w:r>
          </w:p>
          <w:p w:rsidR="00084E43" w:rsidRPr="004B348C" w:rsidRDefault="00084E43" w:rsidP="003F2F57">
            <w:pPr>
              <w:spacing w:after="120" w:line="240" w:lineRule="auto"/>
              <w:jc w:val="both"/>
              <w:rPr>
                <w:sz w:val="20"/>
                <w:szCs w:val="20"/>
              </w:rPr>
            </w:pPr>
            <w:r w:rsidRPr="004B348C">
              <w:rPr>
                <w:sz w:val="20"/>
                <w:szCs w:val="20"/>
              </w:rPr>
              <w:t>[</w:t>
            </w:r>
            <w:proofErr w:type="spellStart"/>
            <w:r w:rsidRPr="004B348C">
              <w:rPr>
                <w:sz w:val="20"/>
                <w:szCs w:val="20"/>
              </w:rPr>
              <w:t>p.ex</w:t>
            </w:r>
            <w:proofErr w:type="spellEnd"/>
            <w:r w:rsidRPr="004B348C">
              <w:rPr>
                <w:sz w:val="20"/>
                <w:szCs w:val="20"/>
              </w:rPr>
              <w:t xml:space="preserve">., Recessão demográfica/ atração e fixação de pessoas; Qualificação dos recursos humanos e Emprego; Desertificação e Alterações climáticas; Povoamento e condições de mobilidade associadas a redes de </w:t>
            </w:r>
            <w:proofErr w:type="spellStart"/>
            <w:r w:rsidRPr="004B348C">
              <w:rPr>
                <w:sz w:val="20"/>
                <w:szCs w:val="20"/>
              </w:rPr>
              <w:t>infra-estruturas</w:t>
            </w:r>
            <w:proofErr w:type="spellEnd"/>
            <w:r w:rsidRPr="004B348C">
              <w:rPr>
                <w:sz w:val="20"/>
                <w:szCs w:val="20"/>
              </w:rPr>
              <w:t>, equipamentos e serviços; …]</w:t>
            </w:r>
          </w:p>
          <w:p w:rsidR="00084E43" w:rsidRPr="004B348C" w:rsidRDefault="00084E43" w:rsidP="003F2F57">
            <w:pPr>
              <w:spacing w:after="120" w:line="360" w:lineRule="auto"/>
              <w:rPr>
                <w:b/>
                <w:smallCaps/>
              </w:rPr>
            </w:pPr>
            <w:bookmarkStart w:id="0" w:name="_GoBack"/>
            <w:bookmarkEnd w:id="0"/>
          </w:p>
          <w:p w:rsidR="00084E43" w:rsidRPr="004B348C" w:rsidRDefault="00084E43" w:rsidP="003F2F57">
            <w:pPr>
              <w:spacing w:after="120" w:line="360" w:lineRule="auto"/>
              <w:rPr>
                <w:b/>
                <w:smallCaps/>
              </w:rPr>
            </w:pPr>
          </w:p>
        </w:tc>
      </w:tr>
      <w:tr w:rsidR="00084E43" w:rsidRPr="004B348C" w:rsidTr="003F2F57">
        <w:tc>
          <w:tcPr>
            <w:tcW w:w="9108" w:type="dxa"/>
          </w:tcPr>
          <w:p w:rsidR="00084E43" w:rsidRPr="004B348C" w:rsidRDefault="00084E43" w:rsidP="003F2F57">
            <w:pPr>
              <w:spacing w:after="120" w:line="240" w:lineRule="auto"/>
              <w:jc w:val="both"/>
            </w:pPr>
            <w:r w:rsidRPr="004B348C">
              <w:rPr>
                <w:i/>
              </w:rPr>
              <w:t>2.2. Principais dinâmicas territoriais e de afirmação competitiva do Alentejo</w:t>
            </w:r>
          </w:p>
          <w:p w:rsidR="00084E43" w:rsidRPr="004B348C" w:rsidRDefault="00084E43" w:rsidP="003F2F57">
            <w:pPr>
              <w:spacing w:after="120" w:line="240" w:lineRule="auto"/>
              <w:jc w:val="both"/>
              <w:rPr>
                <w:sz w:val="20"/>
                <w:szCs w:val="20"/>
              </w:rPr>
            </w:pPr>
            <w:r w:rsidRPr="004B348C">
              <w:rPr>
                <w:sz w:val="20"/>
                <w:szCs w:val="20"/>
              </w:rPr>
              <w:t>[</w:t>
            </w:r>
            <w:proofErr w:type="spellStart"/>
            <w:r w:rsidRPr="004B348C">
              <w:rPr>
                <w:sz w:val="20"/>
                <w:szCs w:val="20"/>
              </w:rPr>
              <w:t>p.ex</w:t>
            </w:r>
            <w:proofErr w:type="spellEnd"/>
            <w:r w:rsidRPr="004B348C">
              <w:rPr>
                <w:sz w:val="20"/>
                <w:szCs w:val="20"/>
              </w:rPr>
              <w:t xml:space="preserve">., Aproveitamento e valorização dos ativos do território; Transferência de conhecimento e inovação; Organização das cadeias de valor económico dos Clusters de Competitividade com expressão regional - Recursos Minerais; Floresta; </w:t>
            </w:r>
            <w:proofErr w:type="spellStart"/>
            <w:r w:rsidRPr="004B348C">
              <w:rPr>
                <w:sz w:val="20"/>
                <w:szCs w:val="20"/>
              </w:rPr>
              <w:t>Agro-alimentar</w:t>
            </w:r>
            <w:proofErr w:type="spellEnd"/>
            <w:r w:rsidRPr="004B348C">
              <w:rPr>
                <w:sz w:val="20"/>
                <w:szCs w:val="20"/>
              </w:rPr>
              <w:t>; Aeronáutica, Espaço e Defesa</w:t>
            </w:r>
            <w:r>
              <w:rPr>
                <w:sz w:val="20"/>
                <w:szCs w:val="20"/>
              </w:rPr>
              <w:t xml:space="preserve">, </w:t>
            </w:r>
            <w:r w:rsidRPr="004C48A4">
              <w:rPr>
                <w:sz w:val="20"/>
                <w:szCs w:val="20"/>
              </w:rPr>
              <w:t>Turismo</w:t>
            </w:r>
            <w:r>
              <w:rPr>
                <w:sz w:val="20"/>
                <w:szCs w:val="20"/>
              </w:rPr>
              <w:t>, Património e Cultura…)</w:t>
            </w:r>
          </w:p>
          <w:p w:rsidR="00084E43" w:rsidRPr="004B348C" w:rsidRDefault="00084E43" w:rsidP="003F2F57">
            <w:pPr>
              <w:spacing w:after="120" w:line="360" w:lineRule="auto"/>
              <w:jc w:val="center"/>
              <w:rPr>
                <w:b/>
                <w:smallCaps/>
              </w:rPr>
            </w:pPr>
          </w:p>
          <w:p w:rsidR="00084E43" w:rsidRPr="004B348C" w:rsidRDefault="00084E43" w:rsidP="003F2F57">
            <w:pPr>
              <w:spacing w:after="120" w:line="360" w:lineRule="auto"/>
              <w:jc w:val="center"/>
              <w:rPr>
                <w:b/>
                <w:smallCaps/>
              </w:rPr>
            </w:pPr>
          </w:p>
        </w:tc>
      </w:tr>
      <w:tr w:rsidR="00084E43" w:rsidRPr="004B348C" w:rsidTr="003F2F57">
        <w:tc>
          <w:tcPr>
            <w:tcW w:w="9108" w:type="dxa"/>
          </w:tcPr>
          <w:p w:rsidR="00084E43" w:rsidRPr="004B348C" w:rsidRDefault="00084E43" w:rsidP="003F2F57">
            <w:pPr>
              <w:spacing w:after="120" w:line="240" w:lineRule="auto"/>
              <w:jc w:val="both"/>
              <w:rPr>
                <w:i/>
              </w:rPr>
            </w:pPr>
            <w:r w:rsidRPr="004B348C">
              <w:rPr>
                <w:i/>
              </w:rPr>
              <w:t>2.3. Visão, Desafios estratégicos e Oportunidades de Desenvolvimento para a Região no horizonte 2030</w:t>
            </w:r>
          </w:p>
          <w:p w:rsidR="00084E43" w:rsidRPr="004B348C" w:rsidRDefault="00084E43" w:rsidP="003F2F57">
            <w:pPr>
              <w:spacing w:after="120" w:line="360" w:lineRule="auto"/>
              <w:jc w:val="center"/>
              <w:rPr>
                <w:b/>
                <w:smallCaps/>
              </w:rPr>
            </w:pPr>
          </w:p>
          <w:p w:rsidR="00084E43" w:rsidRPr="004B348C" w:rsidRDefault="00084E43" w:rsidP="003F2F57">
            <w:pPr>
              <w:spacing w:after="120" w:line="360" w:lineRule="auto"/>
              <w:jc w:val="center"/>
              <w:rPr>
                <w:b/>
                <w:smallCaps/>
              </w:rPr>
            </w:pPr>
          </w:p>
        </w:tc>
      </w:tr>
      <w:tr w:rsidR="00084E43" w:rsidRPr="004B348C" w:rsidTr="003F2F57">
        <w:tc>
          <w:tcPr>
            <w:tcW w:w="9108" w:type="dxa"/>
          </w:tcPr>
          <w:p w:rsidR="00084E43" w:rsidRPr="004B348C" w:rsidRDefault="00084E43" w:rsidP="003F2F57">
            <w:pPr>
              <w:spacing w:after="120" w:line="240" w:lineRule="auto"/>
              <w:jc w:val="both"/>
              <w:rPr>
                <w:b/>
              </w:rPr>
            </w:pPr>
            <w:r w:rsidRPr="004B348C">
              <w:rPr>
                <w:b/>
              </w:rPr>
              <w:t>3. Prioridades estratégicas de intervenção para o Alentejo no período 2020-2030, no enquadramento dos Objetivos e das Prioridades da Política de Coesão pós-2020*</w:t>
            </w:r>
          </w:p>
          <w:p w:rsidR="00084E43" w:rsidRPr="004B348C" w:rsidRDefault="00084E43" w:rsidP="003F2F57">
            <w:pPr>
              <w:spacing w:after="120" w:line="240" w:lineRule="auto"/>
              <w:jc w:val="both"/>
            </w:pPr>
            <w:r w:rsidRPr="004B348C">
              <w:rPr>
                <w:i/>
              </w:rPr>
              <w:t>3.1. Domínios Transversais:</w:t>
            </w:r>
            <w:r w:rsidRPr="004B348C">
              <w:t xml:space="preserve"> I. Inovação e Conhecimento; II. Qualificação, Formação e Emprego; III. Sustentabilidade demográfica.</w:t>
            </w:r>
          </w:p>
          <w:p w:rsidR="00084E43" w:rsidRPr="004B348C" w:rsidRDefault="00084E43" w:rsidP="003F2F57">
            <w:pPr>
              <w:spacing w:after="120" w:line="240" w:lineRule="auto"/>
              <w:jc w:val="both"/>
            </w:pPr>
          </w:p>
          <w:p w:rsidR="00084E43" w:rsidRPr="004B348C" w:rsidRDefault="00084E43" w:rsidP="003F2F57">
            <w:pPr>
              <w:spacing w:after="120" w:line="240" w:lineRule="auto"/>
              <w:jc w:val="both"/>
            </w:pPr>
          </w:p>
          <w:p w:rsidR="00084E43" w:rsidRPr="004B348C" w:rsidRDefault="00084E43" w:rsidP="003F2F57">
            <w:pPr>
              <w:spacing w:after="120" w:line="240" w:lineRule="auto"/>
              <w:jc w:val="both"/>
            </w:pPr>
            <w:r w:rsidRPr="004B348C">
              <w:rPr>
                <w:i/>
              </w:rPr>
              <w:t>3.2. Domínios com Incidência Territorial:</w:t>
            </w:r>
            <w:r>
              <w:t xml:space="preserve"> </w:t>
            </w:r>
            <w:r w:rsidRPr="004B348C">
              <w:t xml:space="preserve">IV. Energia e alterações climáticas; V. Economia do Mar; VI. </w:t>
            </w:r>
            <w:proofErr w:type="gramStart"/>
            <w:r w:rsidRPr="004B348C">
              <w:t>Redes e Mercados Externos</w:t>
            </w:r>
            <w:proofErr w:type="gramEnd"/>
            <w:r w:rsidRPr="004B348C">
              <w:t>; VII. Competitividade e coesão dos territórios da baixa densidade; VIII. Agricultura/Florestas.</w:t>
            </w:r>
          </w:p>
          <w:p w:rsidR="00084E43" w:rsidRPr="004B348C" w:rsidRDefault="00084E43" w:rsidP="003F2F57">
            <w:pPr>
              <w:spacing w:after="120" w:line="360" w:lineRule="auto"/>
              <w:jc w:val="center"/>
              <w:rPr>
                <w:b/>
                <w:smallCaps/>
              </w:rPr>
            </w:pPr>
          </w:p>
          <w:p w:rsidR="00084E43" w:rsidRPr="004B348C" w:rsidRDefault="00084E43" w:rsidP="003F2F57">
            <w:pPr>
              <w:spacing w:after="120" w:line="360" w:lineRule="auto"/>
              <w:jc w:val="center"/>
              <w:rPr>
                <w:b/>
                <w:smallCaps/>
              </w:rPr>
            </w:pPr>
          </w:p>
        </w:tc>
      </w:tr>
    </w:tbl>
    <w:p w:rsidR="00084E43" w:rsidRPr="009A7CA1" w:rsidRDefault="00084E43" w:rsidP="00680CB4">
      <w:pPr>
        <w:spacing w:after="0" w:line="240" w:lineRule="auto"/>
        <w:jc w:val="both"/>
        <w:rPr>
          <w:sz w:val="18"/>
        </w:rPr>
      </w:pPr>
      <w:r w:rsidRPr="009A7CA1">
        <w:rPr>
          <w:sz w:val="18"/>
        </w:rPr>
        <w:t xml:space="preserve"> [*Na fase preparatória e de discussão preliminar, o Ministério de Planeamento e Infraestruturas preparou o “</w:t>
      </w:r>
      <w:hyperlink r:id="rId5" w:history="1">
        <w:r w:rsidRPr="00680CB4">
          <w:rPr>
            <w:rStyle w:val="Hiperligao"/>
            <w:sz w:val="18"/>
          </w:rPr>
          <w:t>Documento Portugal 2030 - Futuro da Política de Coesão: Elementos para reflexão</w:t>
        </w:r>
      </w:hyperlink>
      <w:r w:rsidRPr="009A7CA1">
        <w:rPr>
          <w:sz w:val="18"/>
        </w:rPr>
        <w:t xml:space="preserve">” que tem vindo a ser atualizado e pode ser útil </w:t>
      </w:r>
      <w:r>
        <w:rPr>
          <w:sz w:val="18"/>
        </w:rPr>
        <w:t>ter</w:t>
      </w:r>
      <w:r w:rsidRPr="009A7CA1">
        <w:rPr>
          <w:sz w:val="18"/>
        </w:rPr>
        <w:t xml:space="preserve"> presente no preenchimento deste campo do V/ Contributo. </w:t>
      </w:r>
    </w:p>
    <w:p w:rsidR="00084E43" w:rsidRDefault="00084E43" w:rsidP="00593CA5">
      <w:pPr>
        <w:spacing w:line="360" w:lineRule="auto"/>
        <w:jc w:val="both"/>
      </w:pPr>
    </w:p>
    <w:sectPr w:rsidR="00084E43" w:rsidSect="000B4CF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F1E52"/>
    <w:multiLevelType w:val="hybridMultilevel"/>
    <w:tmpl w:val="BAA85F5A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D10297"/>
    <w:multiLevelType w:val="hybridMultilevel"/>
    <w:tmpl w:val="55F4D57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1D7F38"/>
    <w:multiLevelType w:val="hybridMultilevel"/>
    <w:tmpl w:val="5F5A92E0"/>
    <w:lvl w:ilvl="0" w:tplc="08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CA5"/>
    <w:rsid w:val="000314F1"/>
    <w:rsid w:val="00084E43"/>
    <w:rsid w:val="000B4CFC"/>
    <w:rsid w:val="003F2F57"/>
    <w:rsid w:val="004B348C"/>
    <w:rsid w:val="004C48A4"/>
    <w:rsid w:val="00586EB5"/>
    <w:rsid w:val="00593CA5"/>
    <w:rsid w:val="00664F19"/>
    <w:rsid w:val="00680CB4"/>
    <w:rsid w:val="009A7CA1"/>
    <w:rsid w:val="00C819CC"/>
    <w:rsid w:val="00CE4BD3"/>
    <w:rsid w:val="00D76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397E01"/>
  <w15:docId w15:val="{59A26CED-9573-4C80-8307-C40351640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CFC"/>
    <w:pPr>
      <w:spacing w:after="160" w:line="259" w:lineRule="auto"/>
    </w:pPr>
    <w:rPr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rsid w:val="00593CA5"/>
    <w:rPr>
      <w:rFonts w:cs="Times New Roman"/>
      <w:color w:val="0563C1"/>
      <w:u w:val="single"/>
    </w:rPr>
  </w:style>
  <w:style w:type="character" w:styleId="Hiperligaovisitada">
    <w:name w:val="FollowedHyperlink"/>
    <w:basedOn w:val="Tipodeletrapredefinidodopargrafo"/>
    <w:uiPriority w:val="99"/>
    <w:rsid w:val="00680CB4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ortugal2030.pt/wp-content/uploads/2017/10/FUTURO_PC_Portugal2030_rev20180115vf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PARTICIPE NO FUTURO DA POLÍTICA DE COESÃO</vt:lpstr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PARTICIPE NO FUTURO DA POLÍTICA DE COESÃO</dc:title>
  <dc:subject/>
  <dc:creator>Mariana Pala</dc:creator>
  <cp:keywords/>
  <dc:description/>
  <cp:lastModifiedBy>Antonio Gomes</cp:lastModifiedBy>
  <cp:revision>2</cp:revision>
  <dcterms:created xsi:type="dcterms:W3CDTF">2018-03-14T11:08:00Z</dcterms:created>
  <dcterms:modified xsi:type="dcterms:W3CDTF">2018-03-14T11:08:00Z</dcterms:modified>
</cp:coreProperties>
</file>